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融浆罐、反应罐、精制罐维护保养项目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：融浆罐、反应罐、精制罐维护保养项目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为本公司融浆罐、反应罐、精制罐维护保养服务</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19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w:t>
      </w:r>
      <w:bookmarkStart w:id="0" w:name="_GoBack"/>
      <w:bookmarkEnd w:id="0"/>
      <w:r>
        <w:rPr>
          <w:rFonts w:hint="eastAsia" w:asciiTheme="minorEastAsia" w:hAnsiTheme="minorEastAsia"/>
        </w:rPr>
        <w:t>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9E22E7D"/>
    <w:rsid w:val="1AB1711E"/>
    <w:rsid w:val="1B0C7584"/>
    <w:rsid w:val="21570ECE"/>
    <w:rsid w:val="2AF32D51"/>
    <w:rsid w:val="3180315A"/>
    <w:rsid w:val="35BA41A8"/>
    <w:rsid w:val="3CB61C27"/>
    <w:rsid w:val="3F2E1141"/>
    <w:rsid w:val="418578CF"/>
    <w:rsid w:val="433E1728"/>
    <w:rsid w:val="444255B6"/>
    <w:rsid w:val="448F23F2"/>
    <w:rsid w:val="480F5526"/>
    <w:rsid w:val="48C455DA"/>
    <w:rsid w:val="49CC7DFC"/>
    <w:rsid w:val="5097680A"/>
    <w:rsid w:val="52AC29FF"/>
    <w:rsid w:val="5F773F0E"/>
    <w:rsid w:val="625D406D"/>
    <w:rsid w:val="6A820D69"/>
    <w:rsid w:val="724B1B93"/>
    <w:rsid w:val="72803785"/>
    <w:rsid w:val="72E15E16"/>
    <w:rsid w:val="782C4EC9"/>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2024-05-09T06:41:27Z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