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紫外分光光度计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紫外分光光度计主机1套、工作站1套、石英液体比色池，光程1cm，至少1对，并配置激光打印机1套、 电脑一台。</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4016</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w:t>
      </w:r>
      <w:bookmarkStart w:id="1" w:name="_GoBack"/>
      <w:bookmarkEnd w:id="1"/>
      <w:r>
        <w:rPr>
          <w:rFonts w:hint="eastAsia" w:ascii="宋体" w:hAnsi="宋体" w:eastAsia="宋体"/>
        </w:rPr>
        <w:t>，投标截止时间以后到达的投标响应文件将被拒绝。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B3041B5"/>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6731B29"/>
    <w:rsid w:val="375366EE"/>
    <w:rsid w:val="384261C5"/>
    <w:rsid w:val="38495B0A"/>
    <w:rsid w:val="39885F8C"/>
    <w:rsid w:val="3AC23D63"/>
    <w:rsid w:val="3AD13A45"/>
    <w:rsid w:val="3C636495"/>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0</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2024-04-17T03:45:26Z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E80CFA99279647728CF36063DE14E52E_13</vt:lpwstr>
  </property>
</Properties>
</file>