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铝塑盖采购</w:t>
      </w:r>
      <w:r>
        <w:rPr>
          <w:rFonts w:hint="eastAsia" w:ascii="微软雅黑" w:hAnsi="微软雅黑" w:eastAsia="微软雅黑"/>
          <w:sz w:val="36"/>
          <w:szCs w:val="36"/>
          <w:lang w:eastAsia="zh-CN"/>
        </w:rPr>
        <w:t>事项二次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国药中生上海血制云南生物制品产业化基地为保障项目有序推进，血液制剂室申请采购铝塑盖，主要用于2024年度注册现场核查生产。具体需求数量规格型号详见《云南项目铝塑盖需求清单》。</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NO.20240009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2024年4月2日16:00截止，开评标时间另行通知。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eastAsia="zh-CN"/>
        </w:rPr>
        <w:t>杨静怡</w:t>
      </w:r>
      <w:r>
        <w:rPr>
          <w:rFonts w:hint="eastAsia" w:ascii="宋体" w:hAnsi="宋体"/>
          <w:lang w:val="en-US" w:eastAsia="zh-CN"/>
        </w:rPr>
        <w:t>：</w:t>
      </w:r>
      <w:r>
        <w:rPr>
          <w:rFonts w:hint="eastAsia" w:ascii="宋体" w:hAnsi="宋体"/>
          <w:lang w:eastAsia="zh-CN"/>
        </w:rPr>
        <w:t>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BAD5FA4"/>
    <w:rsid w:val="0BAF14A7"/>
    <w:rsid w:val="0FB41173"/>
    <w:rsid w:val="121A3C0F"/>
    <w:rsid w:val="139B03B9"/>
    <w:rsid w:val="13DC2A48"/>
    <w:rsid w:val="13F4604F"/>
    <w:rsid w:val="19423100"/>
    <w:rsid w:val="1A976E8A"/>
    <w:rsid w:val="1D05185B"/>
    <w:rsid w:val="1D9744B9"/>
    <w:rsid w:val="1DB3348E"/>
    <w:rsid w:val="1F1449D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763099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3E02FD"/>
    <w:rsid w:val="56FE2EBB"/>
    <w:rsid w:val="58632D93"/>
    <w:rsid w:val="59165364"/>
    <w:rsid w:val="5B252CCC"/>
    <w:rsid w:val="5B837B02"/>
    <w:rsid w:val="5BA33BE9"/>
    <w:rsid w:val="613D0998"/>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0</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2024-03-26T00:44:59Z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