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国药集团上海血液制品有限公司</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大流量悬浮粒子计数器购置事项采购公告</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微软雅黑"/>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lang w:val="en-US" w:eastAsia="zh-CN"/>
        </w:rPr>
        <w:t>:</w:t>
      </w:r>
      <w:r>
        <w:rPr>
          <w:rFonts w:hint="eastAsia" w:ascii="宋体" w:hAnsi="宋体"/>
          <w:lang w:val="en-US" w:eastAsia="zh-CN"/>
        </w:rPr>
        <w:t>国药集团上海血液制品有限公司为保证产品质量，提升GMP合规性，质量保证室申请采购1台大流量悬浮粒子计数器，用于日常环境监测。</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上海血制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4-0004</w:t>
      </w:r>
    </w:p>
    <w:p>
      <w:pPr>
        <w:snapToGrid w:val="0"/>
        <w:spacing w:line="360" w:lineRule="auto"/>
        <w:rPr>
          <w:rFonts w:hint="eastAsia" w:ascii="宋体" w:hAnsi="宋体" w:eastAsia="宋体"/>
          <w:lang w:eastAsia="zh-CN"/>
        </w:rPr>
      </w:pPr>
      <w:r>
        <w:rPr>
          <w:rFonts w:hint="eastAsia" w:ascii="宋体" w:hAnsi="宋体" w:eastAsia="宋体"/>
          <w:b/>
        </w:rPr>
        <w:t>使用方：</w:t>
      </w:r>
      <w:r>
        <w:rPr>
          <w:rFonts w:hint="eastAsia" w:ascii="宋体" w:hAnsi="宋体" w:eastAsia="宋体"/>
          <w:lang w:eastAsia="zh-CN"/>
        </w:rPr>
        <w:t>国药集团上海血液制品有限公司</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国药集团上海血液制品有限公司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2024年3月18</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hint="eastAsia" w:ascii="仿宋" w:hAnsi="仿宋" w:eastAsia="仿宋"/>
          <w:sz w:val="24"/>
          <w:szCs w:val="24"/>
          <w:lang w:val="en-US" w:eastAsia="zh-CN"/>
        </w:rPr>
        <w:t>shxz-zhaobiao@sinopharm.com</w:t>
      </w:r>
    </w:p>
    <w:p>
      <w:pPr>
        <w:snapToGrid w:val="0"/>
        <w:spacing w:line="360" w:lineRule="auto"/>
        <w:ind w:firstLine="420" w:firstLineChars="200"/>
      </w:pPr>
      <w:r>
        <w:rPr>
          <w:rFonts w:hint="eastAsia" w:ascii="宋体" w:hAnsi="宋体" w:eastAsia="宋体"/>
          <w:lang w:eastAsia="zh-CN"/>
        </w:rPr>
        <w:t>技术负责人：</w:t>
      </w:r>
      <w:r>
        <w:rPr>
          <w:rFonts w:hint="eastAsia" w:ascii="宋体" w:hAnsi="宋体"/>
          <w:lang w:eastAsia="zh-CN"/>
        </w:rPr>
        <w:t>费梅芳：021-62750096-2101</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sz w:val="2"/>
        <w:szCs w:val="2"/>
      </w:rPr>
      <w:drawing>
        <wp:inline distT="0" distB="0" distL="0" distR="0">
          <wp:extent cx="2475230" cy="368935"/>
          <wp:effectExtent l="0" t="0" r="127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07226" cy="3885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8D8175A"/>
    <w:rsid w:val="09134CA3"/>
    <w:rsid w:val="09EC4253"/>
    <w:rsid w:val="0AD32B7F"/>
    <w:rsid w:val="0BAD5FA4"/>
    <w:rsid w:val="0BAF14A7"/>
    <w:rsid w:val="0E3E4655"/>
    <w:rsid w:val="121A3C0F"/>
    <w:rsid w:val="139B03B9"/>
    <w:rsid w:val="16F36743"/>
    <w:rsid w:val="1720279C"/>
    <w:rsid w:val="17FD14DC"/>
    <w:rsid w:val="1A976E8A"/>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6910FC"/>
    <w:rsid w:val="3AE91B91"/>
    <w:rsid w:val="40B756E2"/>
    <w:rsid w:val="44BE5D44"/>
    <w:rsid w:val="45872954"/>
    <w:rsid w:val="45D467D5"/>
    <w:rsid w:val="4688781F"/>
    <w:rsid w:val="47D853C4"/>
    <w:rsid w:val="4A2E2A56"/>
    <w:rsid w:val="4AB91CD1"/>
    <w:rsid w:val="4C754F49"/>
    <w:rsid w:val="4E1C7498"/>
    <w:rsid w:val="50965031"/>
    <w:rsid w:val="56E03B32"/>
    <w:rsid w:val="56FE2EBB"/>
    <w:rsid w:val="58603C60"/>
    <w:rsid w:val="58632D93"/>
    <w:rsid w:val="5B252CCC"/>
    <w:rsid w:val="5BA33BE9"/>
    <w:rsid w:val="5CC300DF"/>
    <w:rsid w:val="5E1B6095"/>
    <w:rsid w:val="61FE28CE"/>
    <w:rsid w:val="6539468C"/>
    <w:rsid w:val="65970037"/>
    <w:rsid w:val="6BF40126"/>
    <w:rsid w:val="6EE269F4"/>
    <w:rsid w:val="6F063215"/>
    <w:rsid w:val="6F2A65B0"/>
    <w:rsid w:val="72784D7B"/>
    <w:rsid w:val="742378CB"/>
    <w:rsid w:val="763875FF"/>
    <w:rsid w:val="79BC6F5A"/>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3</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2024-03-11T00:15:15Z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