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人凝血酶原复合物溶血和刺激试验研究委外服务</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根据工作需求，对人凝血酶原复合物进行溶血和刺激试验研究并出具报告。</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3018</w:t>
      </w:r>
      <w:bookmarkStart w:id="2" w:name="_GoBack"/>
      <w:bookmarkEnd w:id="2"/>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6"/>
        <w:snapToGrid w:val="0"/>
        <w:spacing w:line="360" w:lineRule="auto"/>
        <w:rPr>
          <w:rFonts w:ascii="宋体" w:hAnsi="宋体" w:eastAsia="宋体"/>
        </w:rPr>
      </w:pPr>
      <w:r>
        <w:rPr>
          <w:rFonts w:hint="eastAsia" w:ascii="宋体" w:hAnsi="宋体" w:eastAsia="宋体"/>
          <w:lang w:val="en-US" w:eastAsia="zh-CN"/>
        </w:rPr>
        <w:t>专项要求</w:t>
      </w:r>
      <w:r>
        <w:rPr>
          <w:rFonts w:hint="eastAsia" w:ascii="宋体" w:hAnsi="宋体" w:eastAsia="宋体"/>
        </w:rPr>
        <w:t>：具有实验动物实验许可证和GLP认证批件。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14</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18796C"/>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670</Characters>
  <Lines>5</Lines>
  <Paragraphs>1</Paragraphs>
  <TotalTime>2</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2023-04-10T01:26:06Z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4781E0FC44854228881C9538BA73481E</vt:lpwstr>
  </property>
</Properties>
</file>