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公务用车租赁</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公务出行社会辅助用车，服务期2年。</w:t>
      </w:r>
    </w:p>
    <w:p>
      <w:pPr>
        <w:snapToGrid w:val="0"/>
        <w:spacing w:line="360" w:lineRule="auto"/>
        <w:rPr>
          <w:rFonts w:hint="eastAsia"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3013</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6"/>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w:t>
      </w:r>
      <w:r>
        <w:rPr>
          <w:rFonts w:hint="eastAsia" w:ascii="宋体" w:hAnsi="宋体" w:eastAsia="宋体"/>
          <w:lang w:val="en-US" w:eastAsia="zh-CN"/>
        </w:rPr>
        <w:t>1.</w:t>
      </w:r>
      <w:r>
        <w:rPr>
          <w:rFonts w:hint="eastAsia" w:ascii="宋体" w:hAnsi="宋体" w:eastAsia="宋体"/>
        </w:rPr>
        <w:t>投标人须具有道路运输经营许可证；</w:t>
      </w:r>
      <w:r>
        <w:rPr>
          <w:rFonts w:hint="eastAsia" w:ascii="宋体" w:hAnsi="宋体" w:eastAsia="宋体"/>
          <w:lang w:val="en-US" w:eastAsia="zh-CN"/>
        </w:rPr>
        <w:t>2.保障用车需求，投标人须至少满足其中一项：</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lang w:val="en-US" w:eastAsia="zh-CN"/>
        </w:rPr>
        <w:t>（1）轿车、商务车、越野车等小微客车的购买年限5年以内（含5年）自有统一车辆不少于50台；</w:t>
      </w:r>
    </w:p>
    <w:p>
      <w:pPr>
        <w:snapToGrid w:val="0"/>
        <w:spacing w:line="360" w:lineRule="auto"/>
        <w:ind w:firstLine="420" w:firstLineChars="200"/>
        <w:rPr>
          <w:rFonts w:hint="default" w:ascii="宋体" w:hAnsi="宋体" w:eastAsia="宋体"/>
          <w:lang w:val="en-US" w:eastAsia="zh-CN"/>
        </w:rPr>
      </w:pPr>
      <w:r>
        <w:rPr>
          <w:rFonts w:hint="eastAsia" w:ascii="宋体" w:hAnsi="宋体" w:eastAsia="宋体"/>
          <w:lang w:val="en-US" w:eastAsia="zh-CN"/>
        </w:rPr>
        <w:t>（2）考斯特、大巴等大客车的购买年限6年以内（含6年）自有统一车辆数量不少于15辆。</w:t>
      </w:r>
    </w:p>
    <w:p>
      <w:pPr>
        <w:snapToGrid w:val="0"/>
        <w:spacing w:line="360" w:lineRule="auto"/>
        <w:rPr>
          <w:rFonts w:ascii="宋体" w:hAnsi="宋体" w:eastAsia="宋体"/>
          <w:b/>
        </w:rPr>
      </w:pPr>
      <w:r>
        <w:rPr>
          <w:rFonts w:hint="eastAsia" w:ascii="宋体" w:hAnsi="宋体" w:eastAsia="宋体"/>
          <w:b/>
        </w:rPr>
        <w:t>获取竞争性磋商文件方式、时间：</w:t>
      </w:r>
      <w:bookmarkStart w:id="2" w:name="_GoBack"/>
      <w:bookmarkEnd w:id="2"/>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5E56910"/>
    <w:rsid w:val="06642389"/>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6462307"/>
    <w:rsid w:val="464C093A"/>
    <w:rsid w:val="47654973"/>
    <w:rsid w:val="4BB07905"/>
    <w:rsid w:val="4C500F2C"/>
    <w:rsid w:val="4C6B56A9"/>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B6E0F7F"/>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9"/>
    <w:link w:val="2"/>
    <w:qFormat/>
    <w:uiPriority w:val="9"/>
    <w:rPr>
      <w:rFonts w:asciiTheme="majorHAnsi" w:hAnsiTheme="majorHAnsi" w:eastAsiaTheme="majorEastAsia" w:cstheme="majorBidi"/>
      <w:b/>
      <w:bCs/>
      <w:kern w:val="2"/>
      <w:sz w:val="32"/>
      <w:szCs w:val="32"/>
    </w:rPr>
  </w:style>
  <w:style w:type="paragraph" w:customStyle="1" w:styleId="1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644</Words>
  <Characters>698</Characters>
  <Lines>5</Lines>
  <Paragraphs>1</Paragraphs>
  <TotalTime>3</TotalTime>
  <ScaleCrop>false</ScaleCrop>
  <LinksUpToDate>false</LinksUpToDate>
  <CharactersWithSpaces>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2023-03-15T03:59:06Z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