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爱尔兰Reagecon标准物质</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p>
      <w:pPr>
        <w:spacing w:line="480" w:lineRule="exact"/>
        <w:jc w:val="center"/>
        <w:rPr>
          <w:rFonts w:asciiTheme="majorEastAsia" w:hAnsiTheme="majorEastAsia" w:eastAsiaTheme="majorEastAsia"/>
          <w:sz w:val="44"/>
          <w:szCs w:val="44"/>
        </w:rPr>
      </w:pPr>
      <w:bookmarkStart w:id="0" w:name="_GoBack"/>
      <w:bookmarkEnd w:id="0"/>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：爱尔兰Reagecon标准物质采购项目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拟采购爱尔兰Reagecon标准物质一批。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w:t>
      </w:r>
      <w:r>
        <w:rPr>
          <w:rFonts w:hint="eastAsia" w:asciiTheme="minorEastAsia" w:hAnsiTheme="minorEastAsia"/>
          <w:lang w:val="en-US" w:eastAsia="zh-CN"/>
        </w:rPr>
        <w:t>齐全，应具有厂家授权资质文件</w:t>
      </w:r>
      <w:r>
        <w:rPr>
          <w:rFonts w:hint="eastAsia" w:asciiTheme="minorEastAsia" w:hAnsiTheme="minorEastAsia"/>
        </w:rPr>
        <w:t>，对外贸易许可、具有清关报关资格、保证产品正规渠道</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DD910D3"/>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C07102"/>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2023-01-18T04:26:33Z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