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膜完整性测试仪采购公告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采购膜完整性测试仪1台，主要用于除菌级滤芯膜完整性检测工作。</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M20220</w:t>
      </w:r>
      <w:r>
        <w:rPr>
          <w:rFonts w:hint="eastAsia" w:ascii="宋体" w:hAnsi="宋体" w:eastAsia="宋体"/>
          <w:bCs/>
          <w:lang w:val="en-US" w:eastAsia="zh-CN"/>
        </w:rPr>
        <w:t>56</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bookmarkStart w:id="2" w:name="_GoBack"/>
      <w:bookmarkEnd w:id="2"/>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投标人应有以下资质：投标人为</w:t>
      </w:r>
      <w:r>
        <w:rPr>
          <w:rFonts w:hint="eastAsia" w:ascii="宋体" w:hAnsi="宋体" w:eastAsia="宋体"/>
          <w:b w:val="0"/>
          <w:bCs/>
        </w:rPr>
        <w:t>膜完整性测试仪</w:t>
      </w:r>
      <w:r>
        <w:rPr>
          <w:rFonts w:hint="eastAsia" w:ascii="宋体" w:hAnsi="宋体" w:eastAsia="宋体"/>
        </w:rPr>
        <w:t>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2年11月</w:t>
      </w:r>
      <w:r>
        <w:rPr>
          <w:rFonts w:hint="eastAsia" w:ascii="宋体" w:hAnsi="宋体" w:eastAsia="宋体"/>
          <w:lang w:val="en-US" w:eastAsia="zh-CN"/>
        </w:rPr>
        <w:t>20</w:t>
      </w:r>
      <w:r>
        <w:rPr>
          <w:rFonts w:hint="eastAsia" w:ascii="宋体" w:hAnsi="宋体" w:eastAsia="宋体"/>
        </w:rPr>
        <w:t>日17：00，评标时间另行通知。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BD36644"/>
    <w:rsid w:val="2D59545C"/>
    <w:rsid w:val="2F3F0471"/>
    <w:rsid w:val="30277F07"/>
    <w:rsid w:val="31627FEE"/>
    <w:rsid w:val="325A2D67"/>
    <w:rsid w:val="359D64BA"/>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555</Words>
  <Characters>606</Characters>
  <Lines>5</Lines>
  <Paragraphs>1</Paragraphs>
  <TotalTime>0</TotalTime>
  <ScaleCrop>false</ScaleCrop>
  <LinksUpToDate>false</LinksUpToDate>
  <CharactersWithSpaces>617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2022-11-14T01:40:49Z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E5AFB82FF35A4668BC7054037DFAF0D5</vt:lpwstr>
  </property>
</Properties>
</file>