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公务用车租赁服务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公务出行社会辅助用车，服务期</w:t>
      </w:r>
      <w:r>
        <w:rPr>
          <w:rFonts w:hint="eastAsia" w:ascii="宋体" w:hAnsi="宋体" w:eastAsia="宋体"/>
          <w:b w:val="0"/>
          <w:bCs/>
          <w:lang w:val="en-US" w:eastAsia="zh-CN"/>
        </w:rPr>
        <w:t>1</w:t>
      </w:r>
      <w:r>
        <w:rPr>
          <w:rFonts w:hint="eastAsia" w:ascii="宋体" w:hAnsi="宋体" w:eastAsia="宋体"/>
          <w:b w:val="0"/>
          <w:bCs/>
        </w:rPr>
        <w:t>年。</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2003</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keepNext w:val="0"/>
        <w:keepLines w:val="0"/>
        <w:pageBreakBefore w:val="0"/>
        <w:widowControl w:val="0"/>
        <w:kinsoku/>
        <w:wordWrap/>
        <w:overflowPunct/>
        <w:topLinePunct w:val="0"/>
        <w:bidi w:val="0"/>
        <w:snapToGrid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投标人应有以下资质：</w:t>
      </w:r>
    </w:p>
    <w:p>
      <w:pPr>
        <w:keepNext w:val="0"/>
        <w:keepLines w:val="0"/>
        <w:pageBreakBefore w:val="0"/>
        <w:widowControl w:val="0"/>
        <w:kinsoku/>
        <w:wordWrap/>
        <w:overflowPunct/>
        <w:topLinePunct w:val="0"/>
        <w:bidi w:val="0"/>
        <w:snapToGrid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1.营业执照副本（复印件）或事业单位法人证明副本（复印件）；</w:t>
      </w:r>
    </w:p>
    <w:p>
      <w:pPr>
        <w:pStyle w:val="16"/>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2.法人代表身份证（正、反面复印件）；</w:t>
      </w:r>
    </w:p>
    <w:p>
      <w:pPr>
        <w:pStyle w:val="16"/>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3.法人授权书（原件）及法人代表、被授权人身份证（正、反面复印件）；</w:t>
      </w:r>
    </w:p>
    <w:p>
      <w:pPr>
        <w:pStyle w:val="16"/>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4.提供本项目采购活动前三年内在经营活动中没有重大违法记录的书面声明（必须为公告发布之日至投标截止时间内出具的原件，原件装订于正本内）；</w:t>
      </w:r>
    </w:p>
    <w:p>
      <w:pPr>
        <w:pStyle w:val="16"/>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5.投标人须具有道路运输经营许可证（客运）复印件；</w:t>
      </w:r>
    </w:p>
    <w:p>
      <w:pPr>
        <w:pStyle w:val="16"/>
        <w:keepNext w:val="0"/>
        <w:keepLines w:val="0"/>
        <w:pageBreakBefore w:val="0"/>
        <w:widowControl w:val="0"/>
        <w:kinsoku/>
        <w:wordWrap/>
        <w:overflowPunct/>
        <w:topLinePunct w:val="0"/>
        <w:bidi w:val="0"/>
        <w:spacing w:line="440" w:lineRule="exact"/>
        <w:ind w:firstLine="420"/>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6.投标人应入围2020年度市级党政机关公务出行社会辅助用车服务资质。</w:t>
      </w:r>
    </w:p>
    <w:p>
      <w:pPr>
        <w:snapToGrid w:val="0"/>
        <w:spacing w:line="360" w:lineRule="auto"/>
        <w:ind w:firstLine="420" w:firstLineChars="20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以上条款为必须提供的文件，其中证书必须在有效期内，上述所有条款中的复印件必须加盖投标人公章。若法定代表人参加投标，须提供第2项，若法人授权人参加投标，须提供第3项。未按上述要求制作标书的，将视为无效投标。</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eastAsia="zh-CN"/>
        </w:rPr>
        <w:t>报名</w:t>
      </w:r>
      <w:r>
        <w:rPr>
          <w:rFonts w:hint="eastAsia" w:ascii="宋体" w:hAnsi="宋体" w:eastAsia="宋体"/>
          <w:b/>
        </w:rPr>
        <w:t>截止时间：</w:t>
      </w:r>
      <w:bookmarkStart w:id="2" w:name="_GoBack"/>
      <w:bookmarkEnd w:id="2"/>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hint="eastAsia" w:ascii="宋体" w:hAnsi="宋体" w:eastAsia="宋体"/>
          <w:lang w:val="en-US" w:eastAsia="zh-CN"/>
        </w:rPr>
        <w:t>22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58241F9"/>
    <w:rsid w:val="17BB503D"/>
    <w:rsid w:val="192C33B4"/>
    <w:rsid w:val="19772C29"/>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9A16274"/>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5EEF6A73"/>
    <w:rsid w:val="6008593B"/>
    <w:rsid w:val="60CC137A"/>
    <w:rsid w:val="6136339A"/>
    <w:rsid w:val="62A10867"/>
    <w:rsid w:val="634A62C1"/>
    <w:rsid w:val="63D764BC"/>
    <w:rsid w:val="64DD4427"/>
    <w:rsid w:val="654D39C2"/>
    <w:rsid w:val="655F3184"/>
    <w:rsid w:val="68263CE8"/>
    <w:rsid w:val="6A1738F7"/>
    <w:rsid w:val="6F0D5AA6"/>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3</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2022-01-10T09:33:43Z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