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血液制剂室自控系统升级项目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采购第二次公告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</w:p>
    <w:bookmarkEnd w:id="0"/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：血液制剂室自控系统升级项目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血液制剂室自控系统中工艺系统、水系统和空调系统基于西门子S7-300平台的部分DP通讯调整为ProfiNet以太网通讯，增加远程诊断模块，实现远程维护诊断功能。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投标方在中国境内注册并具有独立法人资格的合法企业，营业执照在有效期内，具有独立承担民事责任的能力；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具有良好的商业信誉和健全的财务会计制度；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有依法缴纳税收和社会保障资金的良好记录；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具有工艺软件升级系统开发编程经验</w:t>
      </w:r>
      <w:r>
        <w:rPr>
          <w:rFonts w:hint="eastAsia" w:asciiTheme="minorEastAsia" w:hAnsiTheme="minorEastAsia"/>
          <w:lang w:eastAsia="zh-CN"/>
        </w:rPr>
        <w:t>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4F0868"/>
    <w:rsid w:val="299833CD"/>
    <w:rsid w:val="29C16D16"/>
    <w:rsid w:val="2D597129"/>
    <w:rsid w:val="2E221682"/>
    <w:rsid w:val="36726A35"/>
    <w:rsid w:val="38995298"/>
    <w:rsid w:val="38D1374E"/>
    <w:rsid w:val="40082CD0"/>
    <w:rsid w:val="4041385E"/>
    <w:rsid w:val="45E41BF3"/>
    <w:rsid w:val="47294386"/>
    <w:rsid w:val="479211E1"/>
    <w:rsid w:val="4845347A"/>
    <w:rsid w:val="48C13573"/>
    <w:rsid w:val="4A0D41BF"/>
    <w:rsid w:val="501126B8"/>
    <w:rsid w:val="50CB3B72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6BE3A84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194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2021-05-28T06:34:27Z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8D4C254E2753460299482A031AA3A62C</vt:lpwstr>
  </property>
</Properties>
</file>