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激光喷码机采购项目议标公告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：激光喷码机</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计划采购激光喷码机一台。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w:t>
      </w:r>
      <w:bookmarkStart w:id="0" w:name="_GoBack"/>
      <w:bookmarkEnd w:id="0"/>
      <w:r>
        <w:rPr>
          <w:rFonts w:asciiTheme="minorEastAsia" w:hAnsiTheme="minorEastAsia"/>
        </w:rPr>
        <w:t>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4B336315"/>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2021-03-10T07:21:44Z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