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浮游菌采样器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浮游菌采样器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浮游菌采样器5台</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3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w:t>
      </w:r>
      <w:bookmarkStart w:id="0" w:name="_GoBack"/>
      <w:bookmarkEnd w:id="0"/>
      <w:r>
        <w:rPr>
          <w:rFonts w:asciiTheme="minorEastAsia" w:hAnsiTheme="minorEastAsia"/>
        </w:rPr>
        <w:t>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18T06:0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