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沃特世液相色谱柱</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沃特世液相色谱柱采购项目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计划采购沃特世液相色谱柱</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w:t>
      </w:r>
      <w:bookmarkStart w:id="0" w:name="_GoBack"/>
      <w:bookmarkEnd w:id="0"/>
      <w:r>
        <w:rPr>
          <w:rFonts w:asciiTheme="minorEastAsia" w:hAnsiTheme="minorEastAsia"/>
        </w:rPr>
        <w:t>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w:t>
      </w:r>
      <w:r>
        <w:rPr>
          <w:rFonts w:hint="eastAsia" w:asciiTheme="minorEastAsia" w:hAnsiTheme="minorEastAsia"/>
          <w:lang w:val="en-US" w:eastAsia="zh-CN"/>
        </w:rPr>
        <w:t>依法</w:t>
      </w:r>
      <w:r>
        <w:rPr>
          <w:rFonts w:asciiTheme="minorEastAsia" w:hAnsiTheme="minorEastAsia"/>
        </w:rPr>
        <w:t>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投标方应资质齐全，取得厂家授权资质文件。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CD3352A"/>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2019-12-10T01:53:14Z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