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line="480" w:lineRule="exact"/>
        <w:jc w:val="center"/>
        <w:rPr>
          <w:rFonts w:asciiTheme="majorEastAsia" w:hAnsiTheme="majorEastAsia" w:eastAsiaTheme="majorEastAsia"/>
          <w:sz w:val="44"/>
          <w:szCs w:val="44"/>
        </w:rPr>
      </w:pPr>
      <w:r>
        <w:rPr>
          <w:rFonts w:hint="eastAsia" w:asciiTheme="majorEastAsia" w:hAnsiTheme="majorEastAsia" w:eastAsiaTheme="majorEastAsia"/>
          <w:sz w:val="44"/>
          <w:szCs w:val="44"/>
        </w:rPr>
        <w:t>2020年度低值易耗品</w:t>
      </w:r>
      <w:r>
        <w:rPr>
          <w:rFonts w:hint="eastAsia" w:asciiTheme="majorEastAsia" w:hAnsiTheme="majorEastAsia" w:eastAsiaTheme="majorEastAsia"/>
          <w:sz w:val="44"/>
          <w:szCs w:val="44"/>
        </w:rPr>
        <w:t>采购项目议标公告</w:t>
      </w:r>
    </w:p>
    <w:p>
      <w:pPr>
        <w:spacing w:line="480" w:lineRule="exact"/>
        <w:jc w:val="center"/>
        <w:rPr>
          <w:rFonts w:asciiTheme="majorEastAsia" w:hAnsiTheme="majorEastAsia" w:eastAsiaTheme="majorEastAsia"/>
          <w:sz w:val="44"/>
          <w:szCs w:val="44"/>
        </w:rPr>
      </w:pPr>
    </w:p>
    <w:p>
      <w:pPr>
        <w:spacing w:line="480" w:lineRule="exact"/>
        <w:rPr>
          <w:rFonts w:hint="eastAsia" w:eastAsia="仿宋_GB2312" w:asciiTheme="minorEastAsia" w:hAnsiTheme="minorEastAsia"/>
          <w:lang w:val="en-US" w:eastAsia="zh-CN"/>
        </w:rPr>
      </w:pPr>
      <w:r>
        <w:rPr>
          <w:rFonts w:hint="eastAsia" w:asciiTheme="minorEastAsia" w:hAnsiTheme="minorEastAsia"/>
          <w:b/>
        </w:rPr>
        <w:t>项目名称：</w:t>
      </w:r>
      <w:r>
        <w:rPr>
          <w:rFonts w:hint="eastAsia" w:asciiTheme="minorEastAsia" w:hAnsiTheme="minorEastAsia"/>
          <w:lang w:val="en-US" w:eastAsia="zh-CN"/>
        </w:rPr>
        <w:t>2020年度低值易耗品</w:t>
      </w:r>
      <w:r>
        <w:rPr>
          <w:rFonts w:hint="eastAsia" w:asciiTheme="minorEastAsia" w:hAnsiTheme="minorEastAsia"/>
          <w:lang w:val="en-US" w:eastAsia="zh-CN"/>
        </w:rPr>
        <w:t>采购项目</w:t>
      </w:r>
    </w:p>
    <w:p>
      <w:pPr>
        <w:spacing w:line="480" w:lineRule="exact"/>
        <w:rPr>
          <w:rFonts w:hint="eastAsia" w:asciiTheme="minorEastAsia" w:hAnsiTheme="minorEastAsia"/>
          <w:lang w:val="en-US" w:eastAsia="zh-CN"/>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val="en-US" w:eastAsia="zh-CN"/>
        </w:rPr>
        <w:t>计划采购低值易耗品共计350项</w:t>
      </w:r>
      <w:r>
        <w:rPr>
          <w:rFonts w:hint="eastAsia" w:asciiTheme="minorEastAsia" w:hAnsiTheme="minorEastAsia"/>
          <w:lang w:val="en-US" w:eastAsia="zh-CN"/>
        </w:rPr>
        <w:t>。</w:t>
      </w:r>
    </w:p>
    <w:p>
      <w:pPr>
        <w:rPr>
          <w:rFonts w:hint="eastAsia" w:asciiTheme="minorEastAsia" w:hAnsiTheme="minorEastAsia" w:eastAsiaTheme="minorEastAsia"/>
          <w:lang w:val="en-US" w:eastAsia="zh-CN"/>
        </w:rPr>
      </w:pPr>
      <w:r>
        <w:rPr>
          <w:rFonts w:hint="eastAsia" w:asciiTheme="minorEastAsia" w:hAnsiTheme="minorEastAsia"/>
          <w:b/>
        </w:rPr>
        <w:t>项目编号：</w:t>
      </w:r>
      <w:r>
        <w:rPr>
          <w:rFonts w:hint="eastAsia" w:asciiTheme="minorEastAsia" w:hAnsiTheme="minorEastAsia"/>
        </w:rPr>
        <w:t>ZYB-2019-</w:t>
      </w:r>
      <w:r>
        <w:rPr>
          <w:rFonts w:hint="eastAsia" w:asciiTheme="minorEastAsia" w:hAnsiTheme="minorEastAsia"/>
          <w:lang w:val="en-US" w:eastAsia="zh-CN"/>
        </w:rPr>
        <w:t>88</w:t>
      </w:r>
    </w:p>
    <w:p>
      <w:pPr>
        <w:spacing w:before="240" w:line="276" w:lineRule="auto"/>
        <w:rPr>
          <w:rFonts w:hint="eastAsia" w:asciiTheme="minorEastAsia" w:hAnsiTheme="minorEastAsia"/>
        </w:rPr>
      </w:pPr>
      <w:r>
        <w:rPr>
          <w:rFonts w:hint="eastAsia" w:asciiTheme="minorEastAsia" w:hAnsiTheme="minorEastAsia"/>
          <w:b/>
        </w:rPr>
        <w:t>项目方：</w:t>
      </w:r>
      <w:r>
        <w:rPr>
          <w:rFonts w:hint="eastAsia" w:asciiTheme="minorEastAsia" w:hAnsiTheme="minorEastAsia"/>
          <w:lang w:val="en-US" w:eastAsia="zh-CN"/>
        </w:rPr>
        <w:t>国药集团武汉血液制品有限公司</w:t>
      </w:r>
    </w:p>
    <w:p>
      <w:pPr>
        <w:spacing w:line="480" w:lineRule="exact"/>
        <w:rPr>
          <w:rFonts w:asciiTheme="minorEastAsia" w:hAnsiTheme="minorEastAsia"/>
        </w:rPr>
      </w:pPr>
      <w:r>
        <w:rPr>
          <w:rFonts w:hint="eastAsia" w:asciiTheme="minorEastAsia" w:hAnsiTheme="minorEastAsia"/>
          <w:b/>
        </w:rPr>
        <w:t>招议标人：</w:t>
      </w:r>
      <w:r>
        <w:rPr>
          <w:rFonts w:hint="eastAsia" w:asciiTheme="minorEastAsia" w:hAnsiTheme="minorEastAsia"/>
          <w:lang w:val="en-US" w:eastAsia="zh-CN"/>
        </w:rPr>
        <w:t>国药集团武汉血液制品有限公司</w:t>
      </w:r>
    </w:p>
    <w:p>
      <w:pPr>
        <w:spacing w:line="480" w:lineRule="exact"/>
        <w:rPr>
          <w:rFonts w:hint="eastAsia" w:asciiTheme="minorEastAsia" w:hAnsiTheme="minorEastAsia"/>
        </w:rPr>
      </w:pPr>
      <w:r>
        <w:rPr>
          <w:rFonts w:hint="eastAsia" w:asciiTheme="minorEastAsia" w:hAnsiTheme="minorEastAsia"/>
          <w:b/>
        </w:rPr>
        <w:t>投标人资格要求：</w:t>
      </w:r>
      <w:r>
        <w:rPr>
          <w:rFonts w:hint="eastAsia" w:asciiTheme="minorEastAsia" w:hAnsiTheme="minorEastAsia"/>
        </w:rPr>
        <w:t>投标方</w:t>
      </w:r>
      <w:r>
        <w:rPr>
          <w:rFonts w:asciiTheme="minorEastAsia" w:hAnsiTheme="minorEastAsia"/>
        </w:rPr>
        <w:t>应为在中国境内注册并具有独立法人资格的合法企业</w:t>
      </w:r>
      <w:r>
        <w:rPr>
          <w:rFonts w:hint="eastAsia" w:asciiTheme="minorEastAsia" w:hAnsiTheme="minorEastAsia"/>
        </w:rPr>
        <w:t>，</w:t>
      </w:r>
      <w:r>
        <w:rPr>
          <w:rFonts w:asciiTheme="minorEastAsia" w:hAnsiTheme="minorEastAsia"/>
        </w:rPr>
        <w:t>具有独立承担民事责任的能力</w:t>
      </w:r>
      <w:r>
        <w:rPr>
          <w:rFonts w:hint="eastAsia" w:asciiTheme="minorEastAsia" w:hAnsiTheme="minorEastAsia"/>
        </w:rPr>
        <w:t>，</w:t>
      </w:r>
      <w:r>
        <w:rPr>
          <w:rFonts w:asciiTheme="minorEastAsia" w:hAnsiTheme="minorEastAsia"/>
        </w:rPr>
        <w:t>具有良好的商业信誉和健全的财务会计制度</w:t>
      </w:r>
      <w:r>
        <w:rPr>
          <w:rFonts w:hint="eastAsia" w:asciiTheme="minorEastAsia" w:hAnsiTheme="minorEastAsia"/>
        </w:rPr>
        <w:t>，</w:t>
      </w:r>
      <w:r>
        <w:rPr>
          <w:rFonts w:asciiTheme="minorEastAsia" w:hAnsiTheme="minorEastAsia"/>
        </w:rPr>
        <w:t>具有履行合同所必须的</w:t>
      </w:r>
      <w:r>
        <w:rPr>
          <w:rFonts w:hint="eastAsia" w:asciiTheme="minorEastAsia" w:hAnsiTheme="minorEastAsia"/>
        </w:rPr>
        <w:t>设备</w:t>
      </w:r>
      <w:r>
        <w:rPr>
          <w:rFonts w:asciiTheme="minorEastAsia" w:hAnsiTheme="minorEastAsia"/>
        </w:rPr>
        <w:t>和专业技术能力,有依法缴纳税收和社会保障资金的良好记录</w:t>
      </w:r>
      <w:r>
        <w:rPr>
          <w:rFonts w:hint="eastAsia" w:asciiTheme="minorEastAsia" w:hAnsiTheme="minorEastAsia"/>
        </w:rPr>
        <w:t>，最近三年内没有发生骗取中标、严重违</w:t>
      </w:r>
      <w:bookmarkStart w:id="0" w:name="_GoBack"/>
      <w:bookmarkEnd w:id="0"/>
      <w:r>
        <w:rPr>
          <w:rFonts w:hint="eastAsia" w:asciiTheme="minorEastAsia" w:hAnsiTheme="minorEastAsia"/>
        </w:rPr>
        <w:t>约等不良行为，没有处于被责令停业，财产被接管、冻结及破产状态，</w:t>
      </w:r>
      <w:r>
        <w:rPr>
          <w:rFonts w:asciiTheme="minorEastAsia" w:hAnsiTheme="minorEastAsia"/>
        </w:rPr>
        <w:t>近三年内在经营活动中没有重大违法</w:t>
      </w:r>
      <w:r>
        <w:rPr>
          <w:rFonts w:hint="eastAsia" w:asciiTheme="minorEastAsia" w:hAnsiTheme="minorEastAsia"/>
        </w:rPr>
        <w:t>、</w:t>
      </w:r>
      <w:r>
        <w:rPr>
          <w:rFonts w:asciiTheme="minorEastAsia" w:hAnsiTheme="minorEastAsia"/>
        </w:rPr>
        <w:t>违规记录,且符合法律、行政法规规定的其他条件</w:t>
      </w:r>
      <w:r>
        <w:rPr>
          <w:rFonts w:hint="eastAsia" w:asciiTheme="minorEastAsia" w:hAnsiTheme="minorEastAsia"/>
        </w:rPr>
        <w:t>。</w:t>
      </w:r>
    </w:p>
    <w:p>
      <w:pPr>
        <w:spacing w:line="360" w:lineRule="exact"/>
        <w:jc w:val="left"/>
        <w:rPr>
          <w:rFonts w:hint="eastAsia" w:asciiTheme="minorEastAsia" w:hAnsiTheme="minorEastAsia"/>
          <w:lang w:val="en-US" w:eastAsia="zh-CN"/>
        </w:rPr>
      </w:pPr>
      <w:r>
        <w:rPr>
          <w:rFonts w:hint="eastAsia" w:asciiTheme="minorEastAsia" w:hAnsiTheme="minorEastAsia"/>
        </w:rPr>
        <w:t>投标方</w:t>
      </w:r>
      <w:r>
        <w:rPr>
          <w:rFonts w:asciiTheme="minorEastAsia" w:hAnsiTheme="minorEastAsia"/>
        </w:rPr>
        <w:t>应</w:t>
      </w:r>
      <w:r>
        <w:rPr>
          <w:rFonts w:hint="eastAsia" w:asciiTheme="minorEastAsia" w:hAnsiTheme="minorEastAsia"/>
        </w:rPr>
        <w:t>有以下资质</w:t>
      </w:r>
      <w:r>
        <w:rPr>
          <w:rFonts w:hint="eastAsia" w:asciiTheme="minorEastAsia" w:hAnsiTheme="minorEastAsia"/>
          <w:lang w:val="en-US" w:eastAsia="zh-CN"/>
        </w:rPr>
        <w:t>：</w:t>
      </w:r>
    </w:p>
    <w:p>
      <w:pPr>
        <w:spacing w:line="480" w:lineRule="exact"/>
        <w:ind w:firstLine="420" w:firstLineChars="200"/>
        <w:rPr>
          <w:rFonts w:hint="eastAsia" w:asciiTheme="minorEastAsia" w:hAnsiTheme="minorEastAsia"/>
          <w:lang w:val="en-US" w:eastAsia="zh-CN"/>
        </w:rPr>
      </w:pPr>
      <w:r>
        <w:rPr>
          <w:rFonts w:hint="eastAsia" w:asciiTheme="minorEastAsia" w:hAnsiTheme="minorEastAsia"/>
          <w:lang w:val="en-US" w:eastAsia="zh-CN"/>
        </w:rPr>
        <w:t>具备所投产品的经营资质,有良好销售</w:t>
      </w:r>
      <w:r>
        <w:rPr>
          <w:rFonts w:hint="eastAsia" w:asciiTheme="minorEastAsia" w:hAnsiTheme="minorEastAsia"/>
          <w:lang w:val="en-US" w:eastAsia="zh-CN"/>
        </w:rPr>
        <w:fldChar w:fldCharType="begin"/>
      </w:r>
      <w:r>
        <w:rPr>
          <w:rFonts w:hint="eastAsia" w:asciiTheme="minorEastAsia" w:hAnsiTheme="minorEastAsia"/>
          <w:lang w:val="en-US" w:eastAsia="zh-CN"/>
        </w:rPr>
        <w:instrText xml:space="preserve"> HYPERLINK "https://www.chinabidding.cn/cblcn/cqgs/list?hmsr=%E8%AF%A6%E6%83%85%E9%A1%B5%E5%BE%81%E4%BF%A1&amp;hmpl=&amp;hmcu=&amp;hmkw=&amp;hmci=" \t "_blank" </w:instrText>
      </w:r>
      <w:r>
        <w:rPr>
          <w:rFonts w:hint="eastAsia" w:asciiTheme="minorEastAsia" w:hAnsiTheme="minorEastAsia"/>
          <w:lang w:val="en-US" w:eastAsia="zh-CN"/>
        </w:rPr>
        <w:fldChar w:fldCharType="separate"/>
      </w:r>
      <w:r>
        <w:rPr>
          <w:rFonts w:hint="eastAsia" w:asciiTheme="minorEastAsia" w:hAnsiTheme="minorEastAsia"/>
          <w:lang w:val="en-US" w:eastAsia="zh-CN"/>
        </w:rPr>
        <w:t>信誉</w:t>
      </w:r>
      <w:r>
        <w:rPr>
          <w:rFonts w:hint="eastAsia" w:asciiTheme="minorEastAsia" w:hAnsiTheme="minorEastAsia"/>
          <w:lang w:val="en-US" w:eastAsia="zh-CN"/>
        </w:rPr>
        <w:fldChar w:fldCharType="end"/>
      </w:r>
      <w:r>
        <w:rPr>
          <w:rFonts w:hint="eastAsia" w:asciiTheme="minorEastAsia" w:hAnsiTheme="minorEastAsia"/>
          <w:lang w:val="en-US" w:eastAsia="zh-CN"/>
        </w:rPr>
        <w:t>和售后服务能力。</w:t>
      </w:r>
    </w:p>
    <w:p>
      <w:pPr>
        <w:spacing w:line="480" w:lineRule="exact"/>
        <w:rPr>
          <w:rFonts w:asciiTheme="minorEastAsia" w:hAnsiTheme="minorEastAsia"/>
        </w:rPr>
      </w:pPr>
      <w:r>
        <w:rPr>
          <w:rFonts w:hint="eastAsia" w:asciiTheme="minorEastAsia" w:hAnsiTheme="minorEastAsia"/>
          <w:b/>
        </w:rPr>
        <w:t>获取议标文件方式、时间：</w:t>
      </w:r>
      <w:r>
        <w:rPr>
          <w:rFonts w:hint="eastAsia" w:asciiTheme="minorEastAsia" w:hAnsiTheme="minorEastAsia"/>
        </w:rPr>
        <w:t>符合上述要求的投标人可于投标截止日期前一个工作日内从以下联系人处获取招议标文件。未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r>
        <w:rPr>
          <w:rFonts w:asciiTheme="minorEastAsia" w:hAnsiTheme="minorEastAsia"/>
        </w:rPr>
        <w:t>。</w:t>
      </w:r>
      <w:r>
        <w:rPr>
          <w:rFonts w:hint="eastAsia" w:asciiTheme="minorEastAsia" w:hAnsiTheme="minorEastAsia"/>
          <w:b/>
        </w:rPr>
        <w:t>投标截止时间：</w:t>
      </w:r>
      <w:r>
        <w:rPr>
          <w:rFonts w:hint="eastAsia" w:asciiTheme="minorEastAsia" w:hAnsiTheme="minorEastAsia"/>
          <w:lang w:val="en-US" w:eastAsia="zh-CN"/>
        </w:rPr>
        <w:t>2019</w:t>
      </w:r>
      <w:r>
        <w:rPr>
          <w:rFonts w:hint="eastAsia" w:asciiTheme="minorEastAsia" w:hAnsiTheme="minorEastAsia"/>
        </w:rPr>
        <w:t>年</w:t>
      </w:r>
      <w:r>
        <w:rPr>
          <w:rFonts w:hint="eastAsia" w:asciiTheme="minorEastAsia" w:hAnsiTheme="minorEastAsia"/>
          <w:lang w:val="en-US" w:eastAsia="zh-CN"/>
        </w:rPr>
        <w:t>12</w:t>
      </w:r>
      <w:r>
        <w:rPr>
          <w:rFonts w:hint="eastAsia" w:asciiTheme="minorEastAsia" w:hAnsiTheme="minorEastAsia"/>
        </w:rPr>
        <w:t>月</w:t>
      </w:r>
      <w:r>
        <w:rPr>
          <w:rFonts w:hint="eastAsia" w:asciiTheme="minorEastAsia" w:hAnsiTheme="minorEastAsia"/>
          <w:lang w:val="en-US" w:eastAsia="zh-CN"/>
        </w:rPr>
        <w:t>2</w:t>
      </w:r>
      <w:r>
        <w:rPr>
          <w:rFonts w:hint="eastAsia" w:asciiTheme="minorEastAsia" w:hAnsiTheme="minorEastAsia"/>
        </w:rPr>
        <w:t>日</w:t>
      </w:r>
      <w:r>
        <w:rPr>
          <w:rFonts w:asciiTheme="minorEastAsia" w:hAnsiTheme="minorEastAsia"/>
        </w:rPr>
        <w:t>1</w:t>
      </w:r>
      <w:r>
        <w:rPr>
          <w:rFonts w:hint="eastAsia" w:asciiTheme="minorEastAsia" w:hAnsiTheme="minorEastAsia"/>
          <w:lang w:val="en-US" w:eastAsia="zh-CN"/>
        </w:rPr>
        <w:t>0</w:t>
      </w:r>
      <w:r>
        <w:rPr>
          <w:rFonts w:hint="eastAsia" w:asciiTheme="minorEastAsia" w:hAnsiTheme="minorEastAsia"/>
        </w:rPr>
        <w:t>：</w:t>
      </w:r>
      <w:r>
        <w:rPr>
          <w:rFonts w:hint="eastAsia" w:asciiTheme="minorEastAsia" w:hAnsiTheme="minorEastAsia"/>
          <w:lang w:val="en-US" w:eastAsia="zh-CN"/>
        </w:rPr>
        <w:t>0</w:t>
      </w:r>
      <w:r>
        <w:rPr>
          <w:rFonts w:asciiTheme="minorEastAsia" w:hAnsiTheme="minorEastAsia"/>
        </w:rPr>
        <w:t>0</w:t>
      </w:r>
    </w:p>
    <w:p>
      <w:pPr>
        <w:spacing w:line="480" w:lineRule="exact"/>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投标人应在招议标文件规定的投标截止时间前，将投标文件按招议标文件规定密封后邮寄至以下联系地址，投标截止时间以后送达的投标文件将被拒绝。</w:t>
      </w:r>
    </w:p>
    <w:p>
      <w:pPr>
        <w:spacing w:line="480" w:lineRule="exact"/>
        <w:rPr>
          <w:rFonts w:asciiTheme="minorEastAsia" w:hAnsiTheme="minorEastAsia"/>
        </w:rPr>
      </w:pPr>
      <w:r>
        <w:rPr>
          <w:rFonts w:hint="eastAsia" w:asciiTheme="minorEastAsia" w:hAnsiTheme="minorEastAsia"/>
          <w:b/>
        </w:rPr>
        <w:t>联系地址：</w:t>
      </w:r>
      <w:r>
        <w:rPr>
          <w:rFonts w:hint="eastAsia" w:asciiTheme="minorEastAsia" w:hAnsiTheme="minorEastAsia"/>
          <w:lang w:val="en-US" w:eastAsia="zh-CN"/>
        </w:rPr>
        <w:t>湖北</w:t>
      </w:r>
      <w:r>
        <w:rPr>
          <w:rFonts w:hint="eastAsia" w:asciiTheme="minorEastAsia" w:hAnsiTheme="minorEastAsia"/>
        </w:rPr>
        <w:t>省</w:t>
      </w:r>
      <w:r>
        <w:rPr>
          <w:rFonts w:hint="eastAsia" w:asciiTheme="minorEastAsia" w:hAnsiTheme="minorEastAsia"/>
          <w:lang w:val="en-US" w:eastAsia="zh-CN"/>
        </w:rPr>
        <w:t>武汉</w:t>
      </w:r>
      <w:r>
        <w:rPr>
          <w:rFonts w:hint="eastAsia" w:asciiTheme="minorEastAsia" w:hAnsiTheme="minorEastAsia"/>
        </w:rPr>
        <w:t>市</w:t>
      </w:r>
      <w:r>
        <w:rPr>
          <w:rFonts w:hint="eastAsia" w:asciiTheme="minorEastAsia" w:hAnsiTheme="minorEastAsia"/>
          <w:lang w:val="zh-CN" w:eastAsia="zh-CN"/>
        </w:rPr>
        <w:t>江夏区黄金工业园路一号附一号</w:t>
      </w:r>
      <w:r>
        <w:rPr>
          <w:rFonts w:hint="eastAsia" w:asciiTheme="minorEastAsia" w:hAnsiTheme="minorEastAsia"/>
        </w:rPr>
        <w:t>（</w:t>
      </w:r>
      <w:r>
        <w:rPr>
          <w:rFonts w:hint="eastAsia" w:asciiTheme="minorEastAsia" w:hAnsiTheme="minorEastAsia"/>
          <w:lang w:val="en-US" w:eastAsia="zh-CN"/>
        </w:rPr>
        <w:t>国药集团武汉血液制品有限公司总经理办公室</w:t>
      </w:r>
      <w:r>
        <w:rPr>
          <w:rFonts w:hint="eastAsia" w:asciiTheme="minorEastAsia" w:hAnsiTheme="minorEastAsia"/>
        </w:rPr>
        <w:t>）</w:t>
      </w:r>
    </w:p>
    <w:p>
      <w:pPr>
        <w:spacing w:line="480" w:lineRule="exact"/>
        <w:rPr>
          <w:rFonts w:asciiTheme="minorEastAsia" w:hAnsiTheme="minorEastAsia"/>
        </w:rPr>
      </w:pPr>
      <w:r>
        <w:rPr>
          <w:rFonts w:hint="eastAsia" w:asciiTheme="minorEastAsia" w:hAnsiTheme="minorEastAsia"/>
          <w:b/>
        </w:rPr>
        <w:t>联系人：</w:t>
      </w:r>
      <w:r>
        <w:rPr>
          <w:rFonts w:hint="eastAsia" w:asciiTheme="minorEastAsia" w:hAnsiTheme="minorEastAsia"/>
          <w:lang w:val="en-US" w:eastAsia="zh-CN"/>
        </w:rPr>
        <w:t>杜</w:t>
      </w:r>
      <w:r>
        <w:rPr>
          <w:rFonts w:hint="eastAsia" w:asciiTheme="minorEastAsia" w:hAnsiTheme="minorEastAsia"/>
        </w:rPr>
        <w:t>女士</w:t>
      </w:r>
      <w:r>
        <w:rPr>
          <w:rFonts w:hint="eastAsia" w:asciiTheme="minorEastAsia" w:hAnsiTheme="minorEastAsia"/>
          <w:b/>
        </w:rPr>
        <w:t xml:space="preserve">       联系电话：</w:t>
      </w:r>
      <w:r>
        <w:rPr>
          <w:rFonts w:hint="eastAsia" w:asciiTheme="minorEastAsia" w:hAnsiTheme="minorEastAsia"/>
        </w:rPr>
        <w:t>02</w:t>
      </w:r>
      <w:r>
        <w:rPr>
          <w:rFonts w:hint="eastAsia" w:asciiTheme="minorEastAsia" w:hAnsiTheme="minorEastAsia"/>
          <w:lang w:val="en-US" w:eastAsia="zh-CN"/>
        </w:rPr>
        <w:t>7</w:t>
      </w:r>
      <w:r>
        <w:rPr>
          <w:rFonts w:hint="eastAsia" w:asciiTheme="minorEastAsia" w:hAnsiTheme="minorEastAsia"/>
        </w:rPr>
        <w:t>-</w:t>
      </w:r>
      <w:r>
        <w:rPr>
          <w:rFonts w:hint="eastAsia" w:asciiTheme="minorEastAsia" w:hAnsiTheme="minorEastAsia"/>
          <w:lang w:val="en-US" w:eastAsia="zh-CN"/>
        </w:rPr>
        <w:t>86636639</w:t>
      </w:r>
    </w:p>
    <w:p>
      <w:pPr>
        <w:spacing w:line="480" w:lineRule="exact"/>
      </w:pPr>
      <w:r>
        <w:rPr>
          <w:rFonts w:hint="eastAsia" w:asciiTheme="minorEastAsia" w:hAnsiTheme="minorEastAsia"/>
          <w:b/>
        </w:rPr>
        <w:t>邮箱</w:t>
      </w:r>
      <w:r>
        <w:rPr>
          <w:rFonts w:asciiTheme="minorEastAsia" w:hAnsiTheme="minorEastAsia"/>
          <w:b/>
        </w:rPr>
        <w:t>：</w:t>
      </w:r>
      <w:r>
        <w:rPr>
          <w:rFonts w:hint="eastAsia" w:asciiTheme="minorEastAsia" w:hAnsiTheme="minorEastAsia"/>
        </w:rPr>
        <w:t xml:space="preserve"> </w:t>
      </w:r>
      <w:r>
        <w:rPr>
          <w:rFonts w:asciiTheme="minorEastAsia" w:hAnsiTheme="minorEastAsia"/>
        </w:rPr>
        <w:t xml:space="preserve">  </w:t>
      </w:r>
      <w:r>
        <w:rPr>
          <w:rFonts w:hint="eastAsia" w:asciiTheme="minorEastAsia" w:hAnsiTheme="minorEastAsia"/>
          <w:lang w:val="zh-CN" w:eastAsia="zh-CN"/>
        </w:rPr>
        <w:t>whxzgs-zhb@sinopharm.com</w:t>
      </w:r>
    </w:p>
    <w:sectPr>
      <w:footerReference r:id="rId3" w:type="default"/>
      <w:pgSz w:w="11906" w:h="16838"/>
      <w:pgMar w:top="363" w:right="1800" w:bottom="363"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rPr>
      <w:t xml:space="preserve">                              </w:t>
    </w:r>
    <w:r>
      <w:t xml:space="preserve">            </w:t>
    </w:r>
    <w:r>
      <w:rPr>
        <w:rFonts w:hint="eastAsia"/>
      </w:rPr>
      <w:t xml:space="preserve"> —1—</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B78"/>
    <w:rsid w:val="000E13E2"/>
    <w:rsid w:val="001143E5"/>
    <w:rsid w:val="00251B6D"/>
    <w:rsid w:val="00282596"/>
    <w:rsid w:val="002B02E7"/>
    <w:rsid w:val="003872FA"/>
    <w:rsid w:val="00395556"/>
    <w:rsid w:val="003B729D"/>
    <w:rsid w:val="00435273"/>
    <w:rsid w:val="004527DB"/>
    <w:rsid w:val="0048004D"/>
    <w:rsid w:val="00506CF4"/>
    <w:rsid w:val="005214FE"/>
    <w:rsid w:val="00523750"/>
    <w:rsid w:val="005B6F44"/>
    <w:rsid w:val="005C188F"/>
    <w:rsid w:val="005F7EBB"/>
    <w:rsid w:val="00691559"/>
    <w:rsid w:val="00744B2F"/>
    <w:rsid w:val="007B065B"/>
    <w:rsid w:val="007B2BE9"/>
    <w:rsid w:val="007D5200"/>
    <w:rsid w:val="007F3D92"/>
    <w:rsid w:val="008312F0"/>
    <w:rsid w:val="00831989"/>
    <w:rsid w:val="00887743"/>
    <w:rsid w:val="008C3024"/>
    <w:rsid w:val="008D3380"/>
    <w:rsid w:val="00997015"/>
    <w:rsid w:val="009D10AF"/>
    <w:rsid w:val="00A73BBA"/>
    <w:rsid w:val="00A85EAA"/>
    <w:rsid w:val="00BB72A1"/>
    <w:rsid w:val="00BF2B78"/>
    <w:rsid w:val="00E32810"/>
    <w:rsid w:val="00E57FD7"/>
    <w:rsid w:val="00EC2470"/>
    <w:rsid w:val="0A2722CD"/>
    <w:rsid w:val="0C482AC6"/>
    <w:rsid w:val="0C843EC4"/>
    <w:rsid w:val="0FCE7D0A"/>
    <w:rsid w:val="11860AC4"/>
    <w:rsid w:val="17483857"/>
    <w:rsid w:val="18684F5D"/>
    <w:rsid w:val="208E3F83"/>
    <w:rsid w:val="212D27CC"/>
    <w:rsid w:val="2277297E"/>
    <w:rsid w:val="29311027"/>
    <w:rsid w:val="29C16D16"/>
    <w:rsid w:val="2D597129"/>
    <w:rsid w:val="36726A35"/>
    <w:rsid w:val="38995298"/>
    <w:rsid w:val="38D1374E"/>
    <w:rsid w:val="40082CD0"/>
    <w:rsid w:val="4845347A"/>
    <w:rsid w:val="4A0D41BF"/>
    <w:rsid w:val="501126B8"/>
    <w:rsid w:val="59075F45"/>
    <w:rsid w:val="60DB4723"/>
    <w:rsid w:val="60FA1E3C"/>
    <w:rsid w:val="60FC7B67"/>
    <w:rsid w:val="61E566FC"/>
    <w:rsid w:val="620C5D60"/>
    <w:rsid w:val="67311CCF"/>
    <w:rsid w:val="68012F4A"/>
    <w:rsid w:val="6B204608"/>
    <w:rsid w:val="6DA6066E"/>
    <w:rsid w:val="706E1DA3"/>
    <w:rsid w:val="719B16FD"/>
    <w:rsid w:val="76643BBF"/>
    <w:rsid w:val="7F0373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5"/>
    <w:unhideWhenUsed/>
    <w:qFormat/>
    <w:uiPriority w:val="99"/>
    <w:pPr>
      <w:tabs>
        <w:tab w:val="center" w:pos="4153"/>
        <w:tab w:val="right" w:pos="8306"/>
      </w:tabs>
      <w:snapToGrid w:val="0"/>
      <w:jc w:val="left"/>
    </w:pPr>
    <w:rPr>
      <w:sz w:val="18"/>
      <w:szCs w:val="18"/>
    </w:rPr>
  </w:style>
  <w:style w:type="paragraph" w:styleId="3">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
    </w:rPr>
  </w:style>
  <w:style w:type="character" w:styleId="6">
    <w:name w:val="FollowedHyperlink"/>
    <w:basedOn w:val="5"/>
    <w:semiHidden/>
    <w:unhideWhenUsed/>
    <w:qFormat/>
    <w:uiPriority w:val="99"/>
    <w:rPr>
      <w:color w:val="296FBE"/>
      <w:u w:val="none"/>
    </w:rPr>
  </w:style>
  <w:style w:type="character" w:styleId="7">
    <w:name w:val="HTML Definition"/>
    <w:basedOn w:val="5"/>
    <w:semiHidden/>
    <w:unhideWhenUsed/>
    <w:qFormat/>
    <w:uiPriority w:val="99"/>
  </w:style>
  <w:style w:type="character" w:styleId="8">
    <w:name w:val="HTML Variable"/>
    <w:basedOn w:val="5"/>
    <w:semiHidden/>
    <w:unhideWhenUsed/>
    <w:qFormat/>
    <w:uiPriority w:val="99"/>
  </w:style>
  <w:style w:type="character" w:styleId="9">
    <w:name w:val="Hyperlink"/>
    <w:basedOn w:val="5"/>
    <w:unhideWhenUsed/>
    <w:qFormat/>
    <w:uiPriority w:val="99"/>
    <w:rPr>
      <w:color w:val="0563C1" w:themeColor="hyperlink"/>
      <w:u w:val="single"/>
      <w14:textFill>
        <w14:solidFill>
          <w14:schemeClr w14:val="hlink"/>
        </w14:solidFill>
      </w14:textFill>
    </w:rPr>
  </w:style>
  <w:style w:type="character" w:styleId="10">
    <w:name w:val="HTML Code"/>
    <w:basedOn w:val="5"/>
    <w:semiHidden/>
    <w:unhideWhenUsed/>
    <w:qFormat/>
    <w:uiPriority w:val="99"/>
    <w:rPr>
      <w:rFonts w:hint="eastAsia" w:ascii="微软雅黑" w:hAnsi="微软雅黑" w:eastAsia="微软雅黑" w:cs="微软雅黑"/>
      <w:sz w:val="20"/>
    </w:rPr>
  </w:style>
  <w:style w:type="character" w:styleId="11">
    <w:name w:val="HTML Cite"/>
    <w:basedOn w:val="5"/>
    <w:semiHidden/>
    <w:unhideWhenUsed/>
    <w:qFormat/>
    <w:uiPriority w:val="99"/>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4">
    <w:name w:val="页眉 Char"/>
    <w:basedOn w:val="5"/>
    <w:link w:val="3"/>
    <w:qFormat/>
    <w:uiPriority w:val="99"/>
    <w:rPr>
      <w:sz w:val="18"/>
      <w:szCs w:val="18"/>
    </w:rPr>
  </w:style>
  <w:style w:type="character" w:customStyle="1" w:styleId="15">
    <w:name w:val="页脚 Char"/>
    <w:basedOn w:val="5"/>
    <w:link w:val="2"/>
    <w:qFormat/>
    <w:uiPriority w:val="99"/>
    <w:rPr>
      <w:sz w:val="18"/>
      <w:szCs w:val="18"/>
    </w:rPr>
  </w:style>
  <w:style w:type="character" w:customStyle="1" w:styleId="16">
    <w:name w:val="liked_gray"/>
    <w:basedOn w:val="5"/>
    <w:qFormat/>
    <w:uiPriority w:val="0"/>
    <w:rPr>
      <w:color w:val="FFFFFF"/>
    </w:rPr>
  </w:style>
  <w:style w:type="character" w:customStyle="1" w:styleId="17">
    <w:name w:val="hilite6"/>
    <w:basedOn w:val="5"/>
    <w:qFormat/>
    <w:uiPriority w:val="0"/>
    <w:rPr>
      <w:color w:val="FFFFFF"/>
      <w:shd w:val="clear" w:fill="666666"/>
    </w:rPr>
  </w:style>
  <w:style w:type="character" w:customStyle="1" w:styleId="18">
    <w:name w:val="pagechatarealistclose_box"/>
    <w:basedOn w:val="5"/>
    <w:qFormat/>
    <w:uiPriority w:val="0"/>
  </w:style>
  <w:style w:type="character" w:customStyle="1" w:styleId="19">
    <w:name w:val="w32"/>
    <w:basedOn w:val="5"/>
    <w:qFormat/>
    <w:uiPriority w:val="0"/>
  </w:style>
  <w:style w:type="character" w:customStyle="1" w:styleId="20">
    <w:name w:val="layui-layer-tabnow"/>
    <w:basedOn w:val="5"/>
    <w:qFormat/>
    <w:uiPriority w:val="0"/>
    <w:rPr>
      <w:bdr w:val="single" w:color="CCCCCC" w:sz="6" w:space="0"/>
      <w:shd w:val="clear" w:fill="FFFFFF"/>
    </w:rPr>
  </w:style>
  <w:style w:type="character" w:customStyle="1" w:styleId="21">
    <w:name w:val="after"/>
    <w:basedOn w:val="5"/>
    <w:qFormat/>
    <w:uiPriority w:val="0"/>
    <w:rPr>
      <w:sz w:val="0"/>
      <w:szCs w:val="0"/>
    </w:rPr>
  </w:style>
  <w:style w:type="character" w:customStyle="1" w:styleId="22">
    <w:name w:val="cy"/>
    <w:basedOn w:val="5"/>
    <w:qFormat/>
    <w:uiPriority w:val="0"/>
  </w:style>
  <w:style w:type="character" w:customStyle="1" w:styleId="23">
    <w:name w:val="viewscale"/>
    <w:basedOn w:val="5"/>
    <w:qFormat/>
    <w:uiPriority w:val="0"/>
    <w:rPr>
      <w:color w:val="FFFFFF"/>
      <w:sz w:val="24"/>
      <w:szCs w:val="24"/>
    </w:rPr>
  </w:style>
  <w:style w:type="character" w:customStyle="1" w:styleId="24">
    <w:name w:val="first-child"/>
    <w:basedOn w:val="5"/>
    <w:qFormat/>
    <w:uiPriority w:val="0"/>
  </w:style>
  <w:style w:type="character" w:customStyle="1" w:styleId="25">
    <w:name w:val="active2"/>
    <w:basedOn w:val="5"/>
    <w:qFormat/>
    <w:uiPriority w:val="0"/>
    <w:rPr>
      <w:color w:val="00FF00"/>
      <w:shd w:val="clear" w:fill="111111"/>
    </w:rPr>
  </w:style>
  <w:style w:type="character" w:customStyle="1" w:styleId="26">
    <w:name w:val="drapbtn"/>
    <w:basedOn w:val="5"/>
    <w:qFormat/>
    <w:uiPriority w:val="0"/>
  </w:style>
  <w:style w:type="character" w:customStyle="1" w:styleId="27">
    <w:name w:val="button4"/>
    <w:basedOn w:val="5"/>
    <w:qFormat/>
    <w:uiPriority w:val="0"/>
  </w:style>
  <w:style w:type="character" w:customStyle="1" w:styleId="28">
    <w:name w:val="ico1658"/>
    <w:basedOn w:val="5"/>
    <w:qFormat/>
    <w:uiPriority w:val="0"/>
  </w:style>
  <w:style w:type="character" w:customStyle="1" w:styleId="29">
    <w:name w:val="ico1659"/>
    <w:basedOn w:val="5"/>
    <w:qFormat/>
    <w:uiPriority w:val="0"/>
  </w:style>
  <w:style w:type="character" w:customStyle="1" w:styleId="30">
    <w:name w:val="ico1660"/>
    <w:basedOn w:val="5"/>
    <w:qFormat/>
    <w:uiPriority w:val="0"/>
  </w:style>
  <w:style w:type="character" w:customStyle="1" w:styleId="31">
    <w:name w:val="cdropright"/>
    <w:basedOn w:val="5"/>
    <w:qFormat/>
    <w:uiPriority w:val="0"/>
  </w:style>
  <w:style w:type="character" w:customStyle="1" w:styleId="32">
    <w:name w:val="cdropleft"/>
    <w:basedOn w:val="5"/>
    <w:qFormat/>
    <w:uiPriority w:val="0"/>
  </w:style>
  <w:style w:type="character" w:customStyle="1" w:styleId="33">
    <w:name w:val="icontext2"/>
    <w:basedOn w:val="5"/>
    <w:qFormat/>
    <w:uiPriority w:val="0"/>
  </w:style>
  <w:style w:type="character" w:customStyle="1" w:styleId="34">
    <w:name w:val="tmpztreemove_arrow"/>
    <w:basedOn w:val="5"/>
    <w:qFormat/>
    <w:uiPriority w:val="0"/>
  </w:style>
  <w:style w:type="character" w:customStyle="1" w:styleId="35">
    <w:name w:val="choosename"/>
    <w:basedOn w:val="5"/>
    <w:qFormat/>
    <w:uiPriority w:val="0"/>
  </w:style>
  <w:style w:type="character" w:customStyle="1" w:styleId="36">
    <w:name w:val="moreaction32"/>
    <w:basedOn w:val="5"/>
    <w:qFormat/>
    <w:uiPriority w:val="0"/>
  </w:style>
  <w:style w:type="character" w:customStyle="1" w:styleId="37">
    <w:name w:val="estimate_gray"/>
    <w:basedOn w:val="5"/>
    <w:qFormat/>
    <w:uiPriority w:val="0"/>
  </w:style>
  <w:style w:type="character" w:customStyle="1" w:styleId="38">
    <w:name w:val="estimate_gray1"/>
    <w:basedOn w:val="5"/>
    <w:qFormat/>
    <w:uiPriority w:val="0"/>
    <w:rPr>
      <w:color w:val="FFFFFF"/>
    </w:rPr>
  </w:style>
  <w:style w:type="character" w:customStyle="1" w:styleId="39">
    <w:name w:val="hover43"/>
    <w:basedOn w:val="5"/>
    <w:qFormat/>
    <w:uiPriority w:val="0"/>
    <w:rPr>
      <w:color w:val="FFFFFF"/>
    </w:rPr>
  </w:style>
  <w:style w:type="character" w:customStyle="1" w:styleId="40">
    <w:name w:val="icontext1"/>
    <w:basedOn w:val="5"/>
    <w:qFormat/>
    <w:uiPriority w:val="0"/>
  </w:style>
  <w:style w:type="character" w:customStyle="1" w:styleId="41">
    <w:name w:val="icontext11"/>
    <w:basedOn w:val="5"/>
    <w:qFormat/>
    <w:uiPriority w:val="0"/>
  </w:style>
  <w:style w:type="character" w:customStyle="1" w:styleId="42">
    <w:name w:val="icontext12"/>
    <w:basedOn w:val="5"/>
    <w:qFormat/>
    <w:uiPriority w:val="0"/>
  </w:style>
  <w:style w:type="character" w:customStyle="1" w:styleId="43">
    <w:name w:val="iconline2"/>
    <w:basedOn w:val="5"/>
    <w:qFormat/>
    <w:uiPriority w:val="0"/>
  </w:style>
  <w:style w:type="character" w:customStyle="1" w:styleId="44">
    <w:name w:val="iconline21"/>
    <w:basedOn w:val="5"/>
    <w:qFormat/>
    <w:uiPriority w:val="0"/>
  </w:style>
  <w:style w:type="character" w:customStyle="1" w:styleId="45">
    <w:name w:val="icontext3"/>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108</Words>
  <Characters>620</Characters>
  <Lines>5</Lines>
  <Paragraphs>1</Paragraphs>
  <TotalTime>1</TotalTime>
  <ScaleCrop>false</ScaleCrop>
  <LinksUpToDate>false</LinksUpToDate>
  <CharactersWithSpaces>727</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2018-09-30T03:45:00Z</dcterms:created>
  <dc:creator>田怡</dc:creator>
  <cp:lastModifiedBy>123</cp:lastModifiedBy>
  <dcterms:modified xsi:type="dcterms:W3CDTF">2019-11-22T04:02:40Z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